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A80E" w14:textId="38F30C1F" w:rsidR="003331EE" w:rsidRPr="003331EE" w:rsidRDefault="00AE6CAA" w:rsidP="003331EE">
      <w:pPr>
        <w:jc w:val="center"/>
        <w:rPr>
          <w:color w:val="0070C0"/>
          <w:sz w:val="28"/>
          <w:szCs w:val="28"/>
        </w:rPr>
      </w:pPr>
      <w:r w:rsidRPr="003331EE">
        <w:rPr>
          <w:color w:val="0070C0"/>
          <w:sz w:val="28"/>
          <w:szCs w:val="28"/>
        </w:rPr>
        <w:t>Conf</w:t>
      </w:r>
      <w:r w:rsidR="003331EE" w:rsidRPr="003331EE">
        <w:rPr>
          <w:color w:val="0070C0"/>
          <w:sz w:val="28"/>
          <w:szCs w:val="28"/>
        </w:rPr>
        <w:t xml:space="preserve">érence </w:t>
      </w:r>
      <w:proofErr w:type="spellStart"/>
      <w:r w:rsidR="003331EE" w:rsidRPr="003331EE">
        <w:rPr>
          <w:color w:val="0070C0"/>
          <w:sz w:val="28"/>
          <w:szCs w:val="28"/>
        </w:rPr>
        <w:t>UdeS</w:t>
      </w:r>
      <w:proofErr w:type="spellEnd"/>
      <w:r w:rsidR="003331EE" w:rsidRPr="003331EE">
        <w:rPr>
          <w:color w:val="0070C0"/>
          <w:sz w:val="28"/>
          <w:szCs w:val="28"/>
        </w:rPr>
        <w:t xml:space="preserve"> Monde </w:t>
      </w:r>
      <w:r w:rsidR="003331EE" w:rsidRPr="003331EE">
        <w:rPr>
          <w:color w:val="0070C0"/>
        </w:rPr>
        <w:fldChar w:fldCharType="begin"/>
      </w:r>
      <w:r w:rsidR="003331EE" w:rsidRPr="003331EE">
        <w:rPr>
          <w:color w:val="0070C0"/>
        </w:rPr>
        <w:instrText xml:space="preserve"> INCLUDEPICTURE "/Users/blef3001/Library/Group Containers/UBF8T346G9.ms/WebArchiveCopyPasteTempFiles/com.microsoft.Word/cid1387483451*image001.png@01D96865.420E0160" \* MERGEFORMATINET </w:instrText>
      </w:r>
      <w:r w:rsidR="003331EE" w:rsidRPr="003331EE">
        <w:rPr>
          <w:color w:val="0070C0"/>
        </w:rPr>
        <w:fldChar w:fldCharType="separate"/>
      </w:r>
      <w:r w:rsidR="003331EE" w:rsidRPr="003331EE">
        <w:rPr>
          <w:noProof/>
          <w:color w:val="0070C0"/>
        </w:rPr>
        <w:drawing>
          <wp:inline distT="0" distB="0" distL="0" distR="0" wp14:anchorId="74BC0F80" wp14:editId="50CE2A64">
            <wp:extent cx="1388322" cy="345859"/>
            <wp:effectExtent l="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48" cy="35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1EE" w:rsidRPr="003331EE">
        <w:rPr>
          <w:color w:val="0070C0"/>
        </w:rPr>
        <w:fldChar w:fldCharType="end"/>
      </w:r>
    </w:p>
    <w:p w14:paraId="495AE53E" w14:textId="7315F1AC" w:rsidR="00AE6CAA" w:rsidRPr="003331EE" w:rsidRDefault="002C0DFE" w:rsidP="003331E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Guide d’a</w:t>
      </w:r>
      <w:r w:rsidR="00AE6CAA" w:rsidRPr="003331EE">
        <w:rPr>
          <w:color w:val="0070C0"/>
          <w:sz w:val="28"/>
          <w:szCs w:val="28"/>
        </w:rPr>
        <w:t>ide à la décision</w:t>
      </w:r>
      <w:r w:rsidR="003331EE" w:rsidRPr="003331EE">
        <w:rPr>
          <w:color w:val="0070C0"/>
          <w:sz w:val="28"/>
          <w:szCs w:val="28"/>
        </w:rPr>
        <w:t xml:space="preserve"> pour accommodement raisonnable pour motif religieux</w:t>
      </w:r>
    </w:p>
    <w:p w14:paraId="6B3E1FE8" w14:textId="50B58C62" w:rsidR="00AE6CAA" w:rsidRDefault="003331EE" w:rsidP="003331EE">
      <w:pPr>
        <w:jc w:val="center"/>
        <w:rPr>
          <w:color w:val="0070C0"/>
          <w:sz w:val="28"/>
          <w:szCs w:val="28"/>
        </w:rPr>
      </w:pPr>
      <w:r w:rsidRPr="003331EE">
        <w:rPr>
          <w:color w:val="0070C0"/>
          <w:sz w:val="28"/>
          <w:szCs w:val="28"/>
        </w:rPr>
        <w:t xml:space="preserve">Pr. Bertrand Lavoie, </w:t>
      </w:r>
      <w:r w:rsidR="00AE6CAA" w:rsidRPr="003331EE">
        <w:rPr>
          <w:color w:val="0070C0"/>
          <w:sz w:val="28"/>
          <w:szCs w:val="28"/>
        </w:rPr>
        <w:t>22 mars 2023</w:t>
      </w:r>
    </w:p>
    <w:p w14:paraId="08F069BF" w14:textId="77777777" w:rsidR="00717735" w:rsidRDefault="00717735" w:rsidP="00717735">
      <w:pPr>
        <w:rPr>
          <w:color w:val="0070C0"/>
        </w:rPr>
      </w:pPr>
    </w:p>
    <w:p w14:paraId="410A3383" w14:textId="68F7E3F0" w:rsidR="00717735" w:rsidRPr="00717735" w:rsidRDefault="00717735" w:rsidP="00717735">
      <w:pPr>
        <w:rPr>
          <w:color w:val="0070C0"/>
        </w:rPr>
      </w:pPr>
      <w:r w:rsidRPr="00717735">
        <w:rPr>
          <w:color w:val="0070C0"/>
        </w:rPr>
        <w:t xml:space="preserve">Quelques points clés </w:t>
      </w:r>
    </w:p>
    <w:p w14:paraId="5752E823" w14:textId="2E5F1016" w:rsidR="00AE6CAA" w:rsidRPr="003331EE" w:rsidRDefault="00AE6CAA" w:rsidP="00AE6CAA">
      <w:pPr>
        <w:rPr>
          <w:color w:val="000000" w:themeColor="text1"/>
          <w:sz w:val="10"/>
          <w:szCs w:val="10"/>
        </w:rPr>
      </w:pPr>
      <w:r>
        <w:rPr>
          <w:color w:val="000000" w:themeColor="text1"/>
        </w:rPr>
        <w:t xml:space="preserve"> </w:t>
      </w:r>
    </w:p>
    <w:p w14:paraId="1E49A9E4" w14:textId="3B3874E7" w:rsidR="00DC3A48" w:rsidRDefault="003657E3" w:rsidP="00E107F0">
      <w:r w:rsidRPr="009A716C">
        <w:rPr>
          <w:highlight w:val="lightGray"/>
        </w:rPr>
        <w:t>Ce que</w:t>
      </w:r>
      <w:r w:rsidR="00E107F0" w:rsidRPr="009A716C">
        <w:rPr>
          <w:highlight w:val="lightGray"/>
        </w:rPr>
        <w:t xml:space="preserve"> recouvrent les termes « accommodement » et « raisonnable » </w:t>
      </w:r>
      <w:r w:rsidR="009A716C">
        <w:rPr>
          <w:highlight w:val="lightGray"/>
        </w:rPr>
        <w:t xml:space="preserve">pour motif religieux </w:t>
      </w:r>
    </w:p>
    <w:p w14:paraId="489D227D" w14:textId="427FE335" w:rsidR="00E107F0" w:rsidRPr="009A716C" w:rsidRDefault="00DC3A48" w:rsidP="00E107F0">
      <w:pPr>
        <w:pStyle w:val="Paragraphedeliste"/>
        <w:numPr>
          <w:ilvl w:val="0"/>
          <w:numId w:val="1"/>
        </w:numPr>
        <w:rPr>
          <w:highlight w:val="lightGray"/>
        </w:rPr>
      </w:pPr>
      <w:proofErr w:type="gramStart"/>
      <w:r w:rsidRPr="009A716C">
        <w:rPr>
          <w:highlight w:val="lightGray"/>
        </w:rPr>
        <w:t xml:space="preserve">L’  </w:t>
      </w:r>
      <w:proofErr w:type="gramEnd"/>
      <w:r w:rsidRPr="009A716C">
        <w:rPr>
          <w:highlight w:val="lightGray"/>
        </w:rPr>
        <w:t>« accommodement </w:t>
      </w:r>
      <w:r w:rsidR="003657E3" w:rsidRPr="009A716C">
        <w:rPr>
          <w:highlight w:val="lightGray"/>
        </w:rPr>
        <w:t xml:space="preserve">pour motif religieux </w:t>
      </w:r>
      <w:r w:rsidRPr="009A716C">
        <w:rPr>
          <w:highlight w:val="lightGray"/>
        </w:rPr>
        <w:t>»</w:t>
      </w:r>
      <w:r w:rsidR="00B055DB" w:rsidRPr="009A716C">
        <w:rPr>
          <w:highlight w:val="lightGray"/>
        </w:rPr>
        <w:t> </w:t>
      </w:r>
    </w:p>
    <w:p w14:paraId="351D3D52" w14:textId="181ABEF7" w:rsidR="00AE6CAA" w:rsidRDefault="00B12C1D" w:rsidP="00E107F0">
      <w:pPr>
        <w:pStyle w:val="Paragraphedeliste"/>
        <w:numPr>
          <w:ilvl w:val="1"/>
          <w:numId w:val="1"/>
        </w:numPr>
      </w:pPr>
      <w:r>
        <w:t>À considérer non pas comme</w:t>
      </w:r>
      <w:r w:rsidR="00B055DB">
        <w:t xml:space="preserve"> un privilège mais </w:t>
      </w:r>
      <w:r>
        <w:t xml:space="preserve">comme </w:t>
      </w:r>
      <w:r w:rsidR="00B055DB">
        <w:t xml:space="preserve">la </w:t>
      </w:r>
      <w:r w:rsidR="00B055DB" w:rsidRPr="00B12C1D">
        <w:rPr>
          <w:b/>
          <w:bCs/>
        </w:rPr>
        <w:t>correction d’une situation de désavantag</w:t>
      </w:r>
      <w:r w:rsidR="003657E3">
        <w:rPr>
          <w:b/>
          <w:bCs/>
        </w:rPr>
        <w:t>e</w:t>
      </w:r>
      <w:r w:rsidR="003657E3">
        <w:t xml:space="preserve"> qui créerait </w:t>
      </w:r>
      <w:r w:rsidR="003657E3" w:rsidRPr="003657E3">
        <w:rPr>
          <w:i/>
          <w:iCs/>
        </w:rPr>
        <w:t>de facto</w:t>
      </w:r>
      <w:r w:rsidR="003657E3">
        <w:t xml:space="preserve"> une discrimination engendr</w:t>
      </w:r>
      <w:r>
        <w:t xml:space="preserve">ée par </w:t>
      </w:r>
      <w:r w:rsidR="00B055DB">
        <w:t xml:space="preserve">l’application </w:t>
      </w:r>
      <w:r w:rsidR="00E107F0">
        <w:t>d’une</w:t>
      </w:r>
      <w:r w:rsidR="00B055DB">
        <w:t xml:space="preserve"> norme </w:t>
      </w:r>
      <w:r w:rsidR="00E107F0">
        <w:t xml:space="preserve">uniforme </w:t>
      </w:r>
      <w:r>
        <w:t>ne répondant pas à la pluralité des manières de vivre ensemble</w:t>
      </w:r>
      <w:r w:rsidR="00B055DB">
        <w:t>.</w:t>
      </w:r>
    </w:p>
    <w:p w14:paraId="5ECCC358" w14:textId="129C06F3" w:rsidR="00EC7B1D" w:rsidRDefault="003657E3" w:rsidP="00DC3A48">
      <w:pPr>
        <w:pStyle w:val="Paragraphedeliste"/>
        <w:numPr>
          <w:ilvl w:val="1"/>
          <w:numId w:val="1"/>
        </w:numPr>
      </w:pPr>
      <w:r>
        <w:t>Examiner comment on peut accommoder pour motif religieux est</w:t>
      </w:r>
      <w:r w:rsidR="00DC3A48">
        <w:t xml:space="preserve"> une </w:t>
      </w:r>
      <w:r w:rsidR="00DC3A48" w:rsidRPr="00B12C1D">
        <w:rPr>
          <w:b/>
          <w:bCs/>
        </w:rPr>
        <w:t>obligation</w:t>
      </w:r>
      <w:r>
        <w:rPr>
          <w:b/>
          <w:bCs/>
        </w:rPr>
        <w:t xml:space="preserve"> juridique</w:t>
      </w:r>
      <w:r w:rsidR="00DC3A48">
        <w:t xml:space="preserve"> (pas </w:t>
      </w:r>
      <w:r>
        <w:t>un choix</w:t>
      </w:r>
      <w:r w:rsidR="00DC3A48">
        <w:t xml:space="preserve"> </w:t>
      </w:r>
      <w:r w:rsidR="00B055DB">
        <w:t>discrétionnaire</w:t>
      </w:r>
      <w:r w:rsidR="00DC3A48">
        <w:t>)</w:t>
      </w:r>
      <w:r>
        <w:t xml:space="preserve"> car </w:t>
      </w:r>
      <w:r w:rsidR="00DC3A48">
        <w:t>c’est un des motifs couverts et protégés par la Charte des droits et libertés</w:t>
      </w:r>
      <w:r>
        <w:t xml:space="preserve"> de la personne au Québec et dans la Charte canadienne des droits et libertés.</w:t>
      </w:r>
    </w:p>
    <w:p w14:paraId="7CF9BA1B" w14:textId="77777777" w:rsidR="000317AD" w:rsidRDefault="00B055DB" w:rsidP="000317AD">
      <w:pPr>
        <w:pStyle w:val="Paragraphedeliste"/>
        <w:numPr>
          <w:ilvl w:val="0"/>
          <w:numId w:val="1"/>
        </w:numPr>
      </w:pPr>
      <w:r w:rsidRPr="009A716C">
        <w:rPr>
          <w:highlight w:val="lightGray"/>
        </w:rPr>
        <w:t>« </w:t>
      </w:r>
      <w:r w:rsidR="003657E3" w:rsidRPr="009A716C">
        <w:rPr>
          <w:highlight w:val="lightGray"/>
        </w:rPr>
        <w:t>R</w:t>
      </w:r>
      <w:r w:rsidRPr="009A716C">
        <w:rPr>
          <w:highlight w:val="lightGray"/>
        </w:rPr>
        <w:t>aisonnable » vs « déraisonnable »</w:t>
      </w:r>
      <w:r>
        <w:t> </w:t>
      </w:r>
    </w:p>
    <w:p w14:paraId="2F3E9AA4" w14:textId="698FB959" w:rsidR="000317AD" w:rsidRDefault="000317AD" w:rsidP="000317AD">
      <w:pPr>
        <w:pStyle w:val="Paragraphedeliste"/>
        <w:numPr>
          <w:ilvl w:val="1"/>
          <w:numId w:val="1"/>
        </w:numPr>
      </w:pPr>
      <w:proofErr w:type="gramStart"/>
      <w:r>
        <w:t>légitimité</w:t>
      </w:r>
      <w:proofErr w:type="gramEnd"/>
      <w:r>
        <w:t xml:space="preserve"> : on doit se fier à la </w:t>
      </w:r>
      <w:r w:rsidRPr="000317AD">
        <w:rPr>
          <w:b/>
          <w:bCs/>
        </w:rPr>
        <w:t>bonne foi</w:t>
      </w:r>
      <w:r>
        <w:t xml:space="preserve"> de la personne </w:t>
      </w:r>
      <w:proofErr w:type="spellStart"/>
      <w:r>
        <w:t>demandante</w:t>
      </w:r>
      <w:proofErr w:type="spellEnd"/>
      <w:r>
        <w:t xml:space="preserve"> (la jurisprudence n’a pas reconnu le besoin de preuve/justification de conviction de croyance</w:t>
      </w:r>
      <w:r w:rsidR="003331EE">
        <w:t>; de plus, on ne peut avoir de connaissances de toutes les religions et chacun peut avoir sa vision d’un culte religieux</w:t>
      </w:r>
      <w:r>
        <w:t xml:space="preserve">). </w:t>
      </w:r>
    </w:p>
    <w:p w14:paraId="27E9447E" w14:textId="3EF39083" w:rsidR="00B23D84" w:rsidRDefault="009A716C" w:rsidP="00B23D84">
      <w:pPr>
        <w:pStyle w:val="Paragraphedeliste"/>
        <w:numPr>
          <w:ilvl w:val="1"/>
          <w:numId w:val="1"/>
        </w:numPr>
      </w:pPr>
      <w:r>
        <w:t xml:space="preserve">Ne doit </w:t>
      </w:r>
      <w:r w:rsidRPr="000317AD">
        <w:rPr>
          <w:b/>
          <w:bCs/>
        </w:rPr>
        <w:t>pas créer de contrainte excessive/exagérée</w:t>
      </w:r>
      <w:r>
        <w:t xml:space="preserve"> </w:t>
      </w:r>
      <w:r w:rsidR="000317AD">
        <w:t>(</w:t>
      </w:r>
      <w:r>
        <w:t>ou trop de répercussions négatives</w:t>
      </w:r>
      <w:r w:rsidR="000317AD">
        <w:t>)</w:t>
      </w:r>
      <w:r>
        <w:t xml:space="preserve"> </w:t>
      </w:r>
      <w:r w:rsidRPr="000317AD">
        <w:rPr>
          <w:b/>
          <w:bCs/>
        </w:rPr>
        <w:t xml:space="preserve">sur les personnes ou le budget. </w:t>
      </w:r>
    </w:p>
    <w:p w14:paraId="087E457D" w14:textId="77777777" w:rsidR="000317AD" w:rsidRDefault="000317AD" w:rsidP="00B23D84">
      <w:pPr>
        <w:pStyle w:val="Paragraphedeliste"/>
        <w:numPr>
          <w:ilvl w:val="2"/>
          <w:numId w:val="1"/>
        </w:numPr>
      </w:pPr>
      <w:r>
        <w:t xml:space="preserve">Budget : </w:t>
      </w:r>
    </w:p>
    <w:p w14:paraId="74D83880" w14:textId="77777777" w:rsidR="000317AD" w:rsidRDefault="000317AD" w:rsidP="000317AD">
      <w:pPr>
        <w:ind w:left="1416"/>
      </w:pPr>
      <w:r>
        <w:t>Déraisonnable s</w:t>
      </w:r>
      <w:r w:rsidR="00B23D84">
        <w:t xml:space="preserve">i l’application de l’accommodement met en péril d’autres activités ou demandent une réorganisation </w:t>
      </w:r>
      <w:r>
        <w:t xml:space="preserve">trop lourde. </w:t>
      </w:r>
    </w:p>
    <w:p w14:paraId="2F0B4E3E" w14:textId="6C5FD1E7" w:rsidR="00B23D84" w:rsidRDefault="000317AD" w:rsidP="000317AD">
      <w:pPr>
        <w:ind w:left="1416"/>
      </w:pPr>
      <w:r>
        <w:t>! À noter que l</w:t>
      </w:r>
      <w:r w:rsidR="009A716C">
        <w:t xml:space="preserve">a référence </w:t>
      </w:r>
      <w:r>
        <w:t>dans ce cas est</w:t>
      </w:r>
      <w:r w:rsidR="009A716C">
        <w:t xml:space="preserve"> le</w:t>
      </w:r>
      <w:r w:rsidR="00B055DB">
        <w:t xml:space="preserve"> </w:t>
      </w:r>
      <w:r w:rsidR="00B055DB" w:rsidRPr="000317AD">
        <w:rPr>
          <w:b/>
          <w:bCs/>
        </w:rPr>
        <w:t>budget global de l’université</w:t>
      </w:r>
      <w:r w:rsidR="00B055DB">
        <w:t xml:space="preserve"> </w:t>
      </w:r>
      <w:r w:rsidR="003657E3">
        <w:t>(et pas de celui de notre unité)</w:t>
      </w:r>
      <w:r w:rsidR="00DA5F14">
        <w:t>; o</w:t>
      </w:r>
      <w:r w:rsidR="003657E3">
        <w:t xml:space="preserve">r, l’université </w:t>
      </w:r>
      <w:r w:rsidR="00DA5F14">
        <w:t xml:space="preserve">y consacre </w:t>
      </w:r>
      <w:r w:rsidR="00B055DB">
        <w:t>beaucoup d</w:t>
      </w:r>
      <w:r w:rsidR="00DA5F14">
        <w:t xml:space="preserve">e ressources </w:t>
      </w:r>
      <w:r w:rsidR="00B055DB">
        <w:t>(notamment pour les questions de handicap)</w:t>
      </w:r>
      <w:r w:rsidR="009A716C">
        <w:t>.</w:t>
      </w:r>
    </w:p>
    <w:p w14:paraId="1C4FD16D" w14:textId="23B34283" w:rsidR="00DC3A48" w:rsidRDefault="009A716C" w:rsidP="00B23D84">
      <w:pPr>
        <w:pStyle w:val="Paragraphedeliste"/>
        <w:numPr>
          <w:ilvl w:val="2"/>
          <w:numId w:val="1"/>
        </w:numPr>
      </w:pPr>
      <w:r>
        <w:t>Répercussions sur les personnes</w:t>
      </w:r>
    </w:p>
    <w:p w14:paraId="79C1E469" w14:textId="0BA45DF8" w:rsidR="00B23D84" w:rsidRDefault="00B23D84" w:rsidP="00B23D84">
      <w:pPr>
        <w:pStyle w:val="Paragraphedeliste"/>
        <w:numPr>
          <w:ilvl w:val="3"/>
          <w:numId w:val="1"/>
        </w:numPr>
      </w:pPr>
      <w:r w:rsidRPr="00B23D84">
        <w:rPr>
          <w:b/>
          <w:bCs/>
        </w:rPr>
        <w:t xml:space="preserve">On n’ouvre pas </w:t>
      </w:r>
      <w:r w:rsidR="000317AD">
        <w:rPr>
          <w:b/>
          <w:bCs/>
        </w:rPr>
        <w:t>de</w:t>
      </w:r>
      <w:r w:rsidRPr="00B23D84">
        <w:rPr>
          <w:b/>
          <w:bCs/>
        </w:rPr>
        <w:t xml:space="preserve"> boîte de Pandore en acceptant un accommodement</w:t>
      </w:r>
      <w:r>
        <w:t>.</w:t>
      </w:r>
    </w:p>
    <w:p w14:paraId="383D8F99" w14:textId="76CAD25C" w:rsidR="00B23D84" w:rsidRDefault="00B23D84" w:rsidP="00B23D84">
      <w:pPr>
        <w:pStyle w:val="Paragraphedeliste"/>
        <w:ind w:left="2880"/>
      </w:pPr>
      <w:r>
        <w:t>La pratique dans les différentes institutions montre qu’il n’y a pas d’effet d’entraînement, pas d’explosion des demandes : on traite au cas par cas.</w:t>
      </w:r>
    </w:p>
    <w:p w14:paraId="55611148" w14:textId="696FE8FF" w:rsidR="000317AD" w:rsidRDefault="00B23D84" w:rsidP="000317AD">
      <w:pPr>
        <w:pStyle w:val="Paragraphedeliste"/>
        <w:numPr>
          <w:ilvl w:val="3"/>
          <w:numId w:val="1"/>
        </w:numPr>
      </w:pPr>
      <w:r>
        <w:t>Atteinte aux droits des tiers</w:t>
      </w:r>
      <w:r w:rsidR="00DA5F14">
        <w:t> : principes d’équité envers la communauté étudiante</w:t>
      </w:r>
    </w:p>
    <w:p w14:paraId="131F503E" w14:textId="791F6CEA" w:rsidR="00DA5F14" w:rsidRDefault="00DA5F14" w:rsidP="00DA5F14">
      <w:pPr>
        <w:ind w:left="1416"/>
      </w:pPr>
      <w:r>
        <w:t xml:space="preserve">! À noter : </w:t>
      </w:r>
      <w:r w:rsidRPr="00DA5F14">
        <w:rPr>
          <w:b/>
          <w:bCs/>
        </w:rPr>
        <w:t xml:space="preserve">la référence est </w:t>
      </w:r>
      <w:r>
        <w:rPr>
          <w:b/>
          <w:bCs/>
        </w:rPr>
        <w:t>l’accès au droit d’</w:t>
      </w:r>
      <w:r w:rsidRPr="00DA5F14">
        <w:rPr>
          <w:b/>
          <w:bCs/>
        </w:rPr>
        <w:t>une autre personne requérant un accommodement</w:t>
      </w:r>
      <w:r>
        <w:t xml:space="preserve"> (</w:t>
      </w:r>
      <w:r w:rsidR="003331EE">
        <w:t xml:space="preserve">motif protégé juridiquement, </w:t>
      </w:r>
      <w:r>
        <w:t xml:space="preserve">pour handicap par exemple) et </w:t>
      </w:r>
      <w:r w:rsidR="003331EE">
        <w:t xml:space="preserve">non </w:t>
      </w:r>
      <w:r>
        <w:t>pas une autre personne étudiante ne demandant pas d’accommodement.</w:t>
      </w:r>
    </w:p>
    <w:p w14:paraId="7C007ED0" w14:textId="2FC82DFE" w:rsidR="003331EE" w:rsidRDefault="000317AD" w:rsidP="000317AD">
      <w:pPr>
        <w:pStyle w:val="Paragraphedeliste"/>
        <w:numPr>
          <w:ilvl w:val="3"/>
          <w:numId w:val="1"/>
        </w:numPr>
      </w:pPr>
      <w:r w:rsidRPr="002C0DFE">
        <w:rPr>
          <w:b/>
          <w:bCs/>
        </w:rPr>
        <w:t>Atteinte à la mission de l’organisation</w:t>
      </w:r>
      <w:r>
        <w:t> </w:t>
      </w:r>
      <w:r w:rsidR="003331EE">
        <w:t xml:space="preserve">(se référer aux secrétaires de faculté) </w:t>
      </w:r>
      <w:r>
        <w:t xml:space="preserve">: </w:t>
      </w:r>
    </w:p>
    <w:p w14:paraId="2DDA53BD" w14:textId="6ACA9129" w:rsidR="003331EE" w:rsidRDefault="003331EE" w:rsidP="003331EE">
      <w:pPr>
        <w:pStyle w:val="Paragraphedeliste"/>
        <w:ind w:left="2880"/>
      </w:pPr>
      <w:r>
        <w:t>- si l’objectif de réussite est compromis : trop d’absences aux activités de formation qui ne pourraient être comblées autrement.</w:t>
      </w:r>
    </w:p>
    <w:p w14:paraId="28186073" w14:textId="15EFDC12" w:rsidR="000317AD" w:rsidRDefault="003331EE" w:rsidP="003331EE">
      <w:pPr>
        <w:pStyle w:val="Paragraphedeliste"/>
        <w:ind w:left="2880"/>
      </w:pPr>
      <w:r>
        <w:t xml:space="preserve">- </w:t>
      </w:r>
      <w:r w:rsidR="000317AD">
        <w:t xml:space="preserve">si l’objectif de </w:t>
      </w:r>
      <w:r>
        <w:t>formation</w:t>
      </w:r>
      <w:r w:rsidR="000317AD">
        <w:t xml:space="preserve"> est compromis</w:t>
      </w:r>
      <w:r>
        <w:t xml:space="preserve"> : </w:t>
      </w:r>
      <w:r w:rsidR="000317AD">
        <w:t>cela crée une surcharge de travail excessive (ex : le prof, le coordo… ne peuvent plus accomplir correctement l’essentiel de leur tâche car l’accommodement gruge trop de temps).</w:t>
      </w:r>
    </w:p>
    <w:p w14:paraId="603A4012" w14:textId="7373B69B" w:rsidR="003331EE" w:rsidRDefault="003331EE" w:rsidP="003331EE">
      <w:pPr>
        <w:pStyle w:val="Paragraphedeliste"/>
        <w:ind w:left="2880"/>
      </w:pPr>
      <w:r>
        <w:t xml:space="preserve">- laïcité : le fait que l’université soit une organisation laïque n’exclut pas la pratique religieuse, mais la prise de position sur la doctrine religieuse.  </w:t>
      </w:r>
    </w:p>
    <w:p w14:paraId="7769ED67" w14:textId="52F57A3B" w:rsidR="003657E3" w:rsidRDefault="00B23D84" w:rsidP="00DA5F14">
      <w:pPr>
        <w:pStyle w:val="Paragraphedeliste"/>
        <w:numPr>
          <w:ilvl w:val="3"/>
          <w:numId w:val="1"/>
        </w:numPr>
      </w:pPr>
      <w:r>
        <w:t xml:space="preserve">Obligation de </w:t>
      </w:r>
      <w:r w:rsidRPr="002C0DFE">
        <w:rPr>
          <w:b/>
          <w:bCs/>
        </w:rPr>
        <w:t>dialogue</w:t>
      </w:r>
      <w:r>
        <w:t xml:space="preserve"> : la personne </w:t>
      </w:r>
      <w:proofErr w:type="spellStart"/>
      <w:r>
        <w:t>demandante</w:t>
      </w:r>
      <w:proofErr w:type="spellEnd"/>
      <w:r>
        <w:t xml:space="preserve"> doit être partie prenante pour trouver des solutions (sinon, cela peut constituer un motif de refus). </w:t>
      </w:r>
    </w:p>
    <w:p w14:paraId="7D1E34FE" w14:textId="77777777" w:rsidR="000317AD" w:rsidRPr="000317AD" w:rsidRDefault="000317AD" w:rsidP="00AE6CAA">
      <w:pPr>
        <w:pStyle w:val="Paragraphedeliste"/>
        <w:numPr>
          <w:ilvl w:val="0"/>
          <w:numId w:val="1"/>
        </w:numPr>
        <w:rPr>
          <w:highlight w:val="lightGray"/>
        </w:rPr>
      </w:pPr>
      <w:r w:rsidRPr="000317AD">
        <w:rPr>
          <w:highlight w:val="lightGray"/>
        </w:rPr>
        <w:t xml:space="preserve">Ressources </w:t>
      </w:r>
    </w:p>
    <w:p w14:paraId="2ADD41EE" w14:textId="23FE6502" w:rsidR="00DA5F14" w:rsidRDefault="00DA5F14" w:rsidP="000317AD">
      <w:pPr>
        <w:pStyle w:val="Paragraphedeliste"/>
        <w:numPr>
          <w:ilvl w:val="1"/>
          <w:numId w:val="1"/>
        </w:numPr>
      </w:pPr>
      <w:r>
        <w:t>V</w:t>
      </w:r>
      <w:r w:rsidR="000317AD">
        <w:t xml:space="preserve">idéo </w:t>
      </w:r>
      <w:r>
        <w:t xml:space="preserve">de la rencontre </w:t>
      </w:r>
      <w:r w:rsidR="000317AD">
        <w:t xml:space="preserve">et </w:t>
      </w:r>
      <w:r>
        <w:t xml:space="preserve">manuel </w:t>
      </w:r>
      <w:hyperlink r:id="rId6" w:anchor="acc-33232-6220" w:history="1">
        <w:r w:rsidR="000317AD" w:rsidRPr="000317AD">
          <w:rPr>
            <w:rStyle w:val="Hyperlien"/>
          </w:rPr>
          <w:t>ici</w:t>
        </w:r>
      </w:hyperlink>
      <w:r w:rsidR="000317AD">
        <w:t xml:space="preserve">. </w:t>
      </w:r>
    </w:p>
    <w:p w14:paraId="66C7B6D3" w14:textId="255BD854" w:rsidR="000317AD" w:rsidRDefault="000317AD" w:rsidP="000317AD">
      <w:pPr>
        <w:pStyle w:val="Paragraphedeliste"/>
        <w:numPr>
          <w:ilvl w:val="1"/>
          <w:numId w:val="1"/>
        </w:numPr>
      </w:pPr>
      <w:r>
        <w:t>Bertrand.lavoie@usherbrooke.ca</w:t>
      </w:r>
    </w:p>
    <w:p w14:paraId="2359FCC5" w14:textId="183D2321" w:rsidR="00ED0132" w:rsidRPr="00DA5F14" w:rsidRDefault="00000000" w:rsidP="000317AD">
      <w:pPr>
        <w:pStyle w:val="Paragraphedeliste"/>
        <w:numPr>
          <w:ilvl w:val="1"/>
          <w:numId w:val="1"/>
        </w:numPr>
        <w:rPr>
          <w:b/>
          <w:bCs/>
        </w:rPr>
      </w:pPr>
      <w:hyperlink r:id="rId7" w:history="1">
        <w:r w:rsidR="000317AD" w:rsidRPr="00DA5F14">
          <w:rPr>
            <w:rStyle w:val="Hyperlien"/>
          </w:rPr>
          <w:t>Service conseil de la commission des droits de la personne</w:t>
        </w:r>
      </w:hyperlink>
      <w:r w:rsidR="00DA5F14">
        <w:t xml:space="preserve"> </w:t>
      </w:r>
    </w:p>
    <w:sectPr w:rsidR="00ED0132" w:rsidRPr="00DA5F14" w:rsidSect="00AE6C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66600"/>
    <w:multiLevelType w:val="hybridMultilevel"/>
    <w:tmpl w:val="A26C7586"/>
    <w:lvl w:ilvl="0" w:tplc="57E2F65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4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AA"/>
    <w:rsid w:val="000317AD"/>
    <w:rsid w:val="002C0DFE"/>
    <w:rsid w:val="003331EE"/>
    <w:rsid w:val="003657E3"/>
    <w:rsid w:val="00420130"/>
    <w:rsid w:val="00717735"/>
    <w:rsid w:val="00990C97"/>
    <w:rsid w:val="009A716C"/>
    <w:rsid w:val="00AE6CAA"/>
    <w:rsid w:val="00B055DB"/>
    <w:rsid w:val="00B12C1D"/>
    <w:rsid w:val="00B23D84"/>
    <w:rsid w:val="00D876C9"/>
    <w:rsid w:val="00DA5F14"/>
    <w:rsid w:val="00DC3A48"/>
    <w:rsid w:val="00E107F0"/>
    <w:rsid w:val="00E771D2"/>
    <w:rsid w:val="00EC7B1D"/>
    <w:rsid w:val="00E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9B411C"/>
  <w15:chartTrackingRefBased/>
  <w15:docId w15:val="{86390083-8FE1-4944-9676-C3A907C7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AE6CA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E6CA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317A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A5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dj.qc.ca/fr/nos-services/activites-et-services/service-conseil-en-accommodement-raisonn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herbrooke.ca/international/fr/interculturel/ressour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Bleys</dc:creator>
  <cp:keywords/>
  <dc:description/>
  <cp:lastModifiedBy>Françoise Bleys</cp:lastModifiedBy>
  <cp:revision>2</cp:revision>
  <dcterms:created xsi:type="dcterms:W3CDTF">2023-04-04T19:21:00Z</dcterms:created>
  <dcterms:modified xsi:type="dcterms:W3CDTF">2023-04-06T15:06:00Z</dcterms:modified>
</cp:coreProperties>
</file>